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E1" w:rsidRPr="00884FE1" w:rsidRDefault="00884FE1" w:rsidP="00884FE1">
      <w:pPr>
        <w:jc w:val="center"/>
        <w:rPr>
          <w:rFonts w:ascii="Times New Roman" w:hAnsi="Times New Roman" w:cs="Times New Roman"/>
          <w:b/>
          <w:sz w:val="32"/>
          <w:szCs w:val="32"/>
        </w:rPr>
      </w:pPr>
      <w:r w:rsidRPr="00884FE1">
        <w:rPr>
          <w:rFonts w:ascii="Times New Roman" w:hAnsi="Times New Roman" w:cs="Times New Roman"/>
          <w:b/>
          <w:sz w:val="32"/>
          <w:szCs w:val="32"/>
        </w:rPr>
        <w:t>УКАЗ ПРЕЗИДЕНТА УКРАЇНИ №580/2015</w:t>
      </w:r>
    </w:p>
    <w:p w:rsidR="00884FE1" w:rsidRPr="00884FE1" w:rsidRDefault="00884FE1" w:rsidP="00884FE1">
      <w:pPr>
        <w:jc w:val="center"/>
        <w:rPr>
          <w:rFonts w:ascii="Times New Roman" w:hAnsi="Times New Roman" w:cs="Times New Roman"/>
          <w:b/>
          <w:sz w:val="32"/>
          <w:szCs w:val="32"/>
        </w:rPr>
      </w:pPr>
      <w:r w:rsidRPr="00884FE1">
        <w:rPr>
          <w:rFonts w:ascii="Times New Roman" w:hAnsi="Times New Roman" w:cs="Times New Roman"/>
          <w:b/>
          <w:sz w:val="32"/>
          <w:szCs w:val="32"/>
        </w:rPr>
        <w:t>Про Стратегію національно-патріотичного виховання дітей та молоді на 2016 — 2020 роки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1. Затвердити Стратегію національно-патріотичного виховання дітей та молоді на 2016 — 2020 роки (додається).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2. Кабінету Міністрів України: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 двомісячний строк — план дій щодо реалізації Стратегії національно-патріотичного виховання дітей та молоді на 2016 — 2020 роки;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до 31 грудня 2015 року — державну цільову програму з національно-патріотичного виховання дітей та молоді на 2016 — 2020 роки;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4. Цей Указ набирає чинності з дня його опублікування.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Президент України П.ПОРОШЕНКО</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13 жовтня 2015 року</w:t>
      </w:r>
    </w:p>
    <w:p w:rsidR="00884FE1" w:rsidRPr="00884FE1" w:rsidRDefault="00884FE1" w:rsidP="00884FE1">
      <w:pPr>
        <w:ind w:firstLine="709"/>
        <w:jc w:val="right"/>
        <w:rPr>
          <w:rFonts w:ascii="Times New Roman" w:hAnsi="Times New Roman" w:cs="Times New Roman"/>
          <w:sz w:val="28"/>
          <w:szCs w:val="28"/>
        </w:rPr>
      </w:pPr>
      <w:bookmarkStart w:id="0" w:name="_GoBack"/>
      <w:bookmarkEnd w:id="0"/>
      <w:r w:rsidRPr="00884FE1">
        <w:rPr>
          <w:rFonts w:ascii="Times New Roman" w:hAnsi="Times New Roman" w:cs="Times New Roman"/>
          <w:sz w:val="28"/>
          <w:szCs w:val="28"/>
        </w:rPr>
        <w:lastRenderedPageBreak/>
        <w:t>ЗАТВЕРДЖЕНО</w:t>
      </w:r>
    </w:p>
    <w:p w:rsidR="00884FE1" w:rsidRPr="00884FE1" w:rsidRDefault="00884FE1" w:rsidP="00884FE1">
      <w:pPr>
        <w:ind w:firstLine="709"/>
        <w:jc w:val="right"/>
        <w:rPr>
          <w:rFonts w:ascii="Times New Roman" w:hAnsi="Times New Roman" w:cs="Times New Roman"/>
          <w:sz w:val="28"/>
          <w:szCs w:val="28"/>
        </w:rPr>
      </w:pPr>
      <w:r w:rsidRPr="00884FE1">
        <w:rPr>
          <w:rFonts w:ascii="Times New Roman" w:hAnsi="Times New Roman" w:cs="Times New Roman"/>
          <w:sz w:val="28"/>
          <w:szCs w:val="28"/>
        </w:rPr>
        <w:t>Указом Президента України</w:t>
      </w:r>
    </w:p>
    <w:p w:rsidR="00884FE1" w:rsidRPr="00884FE1" w:rsidRDefault="00884FE1" w:rsidP="00884FE1">
      <w:pPr>
        <w:ind w:firstLine="709"/>
        <w:jc w:val="right"/>
        <w:rPr>
          <w:rFonts w:ascii="Times New Roman" w:hAnsi="Times New Roman" w:cs="Times New Roman"/>
          <w:sz w:val="28"/>
          <w:szCs w:val="28"/>
        </w:rPr>
      </w:pPr>
      <w:r w:rsidRPr="00884FE1">
        <w:rPr>
          <w:rFonts w:ascii="Times New Roman" w:hAnsi="Times New Roman" w:cs="Times New Roman"/>
          <w:sz w:val="28"/>
          <w:szCs w:val="28"/>
        </w:rPr>
        <w:t>від 13 жовтня 2015 року</w:t>
      </w:r>
    </w:p>
    <w:p w:rsidR="00884FE1" w:rsidRPr="00884FE1" w:rsidRDefault="00884FE1" w:rsidP="00884FE1">
      <w:pPr>
        <w:ind w:firstLine="709"/>
        <w:jc w:val="right"/>
        <w:rPr>
          <w:rFonts w:ascii="Times New Roman" w:hAnsi="Times New Roman" w:cs="Times New Roman"/>
          <w:sz w:val="28"/>
          <w:szCs w:val="28"/>
        </w:rPr>
      </w:pPr>
      <w:r w:rsidRPr="00884FE1">
        <w:rPr>
          <w:rFonts w:ascii="Times New Roman" w:hAnsi="Times New Roman" w:cs="Times New Roman"/>
          <w:sz w:val="28"/>
          <w:szCs w:val="28"/>
        </w:rPr>
        <w:t>№ 580/2015</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СТРАТЕГІЯ</w:t>
      </w:r>
    </w:p>
    <w:p w:rsid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 xml:space="preserve">національно-патріотичного виховання дітей та молоді </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на 2016 — 2020 роки</w:t>
      </w:r>
    </w:p>
    <w:p w:rsidR="00884FE1" w:rsidRPr="00884FE1" w:rsidRDefault="00884FE1" w:rsidP="00884FE1">
      <w:pPr>
        <w:ind w:firstLine="709"/>
        <w:jc w:val="both"/>
        <w:rPr>
          <w:rFonts w:ascii="Times New Roman" w:hAnsi="Times New Roman" w:cs="Times New Roman"/>
          <w:b/>
          <w:sz w:val="28"/>
          <w:szCs w:val="28"/>
        </w:rPr>
      </w:pPr>
      <w:r w:rsidRPr="00884FE1">
        <w:rPr>
          <w:rFonts w:ascii="Times New Roman" w:hAnsi="Times New Roman" w:cs="Times New Roman"/>
          <w:b/>
          <w:sz w:val="28"/>
          <w:szCs w:val="28"/>
        </w:rPr>
        <w:t>1. Загальні положення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Основними складовими національно-патріотичного виховання мають стати </w:t>
      </w:r>
      <w:proofErr w:type="spellStart"/>
      <w:r w:rsidRPr="00884FE1">
        <w:rPr>
          <w:rFonts w:ascii="Times New Roman" w:hAnsi="Times New Roman" w:cs="Times New Roman"/>
          <w:sz w:val="28"/>
          <w:szCs w:val="28"/>
        </w:rPr>
        <w:t>громадянсько</w:t>
      </w:r>
      <w:proofErr w:type="spellEnd"/>
      <w:r w:rsidRPr="00884FE1">
        <w:rPr>
          <w:rFonts w:ascii="Times New Roman" w:hAnsi="Times New Roman" w:cs="Times New Roman"/>
          <w:sz w:val="28"/>
          <w:szCs w:val="28"/>
        </w:rPr>
        <w:t>-патріотичне, військово-патріотичне, духовно-моральне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w:t>
      </w:r>
      <w:r w:rsidRPr="00884FE1">
        <w:rPr>
          <w:rFonts w:ascii="Times New Roman" w:hAnsi="Times New Roman" w:cs="Times New Roman"/>
          <w:sz w:val="28"/>
          <w:szCs w:val="28"/>
        </w:rPr>
        <w:lastRenderedPageBreak/>
        <w:t>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2. Стан і проблеми національно-патріотичного виховання дітей та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 зв’язку з цим актуалізувалася низка таких проблем:</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відсутність ефективного механізму формування та реалізації державної політики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брак комунікацій з громадянським суспільством з питань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брак духовності і моральності у суспільстві;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наявність </w:t>
      </w:r>
      <w:proofErr w:type="spellStart"/>
      <w:r w:rsidRPr="00884FE1">
        <w:rPr>
          <w:rFonts w:ascii="Times New Roman" w:hAnsi="Times New Roman" w:cs="Times New Roman"/>
          <w:sz w:val="28"/>
          <w:szCs w:val="28"/>
        </w:rPr>
        <w:t>імперсько</w:t>
      </w:r>
      <w:proofErr w:type="spellEnd"/>
      <w:r w:rsidRPr="00884FE1">
        <w:rPr>
          <w:rFonts w:ascii="Times New Roman" w:hAnsi="Times New Roman" w:cs="Times New Roman"/>
          <w:sz w:val="28"/>
          <w:szCs w:val="28"/>
        </w:rPr>
        <w:t>-тоталітарних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незавершеність процесу формування національного мовно-культурного простору, стійкості його ціннісної основи до зовнішнього втручання;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перетворення інформаційного простору на поле маніпуляцій суспільною свідомістю, продукування ціннісної дезорієнтації;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недостатня нормативно-правова урегульованість сфери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відсутність єдиних методичного та термінологічного підходів до процесу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низький рівень матеріально-технічного забезпечення та розвитку інфраструктури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3. Мета Стратегії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усвідомлення досягнень Українського народу, його інтелектуальних і духовних надбань;</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4. Основні напрями досягнення мети Стратегії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Досягнення мети Стратегії здійснюватиметься за такими основними напрямами: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удосконалення нормативно-правової бази стосовно національно-патріотичного виховання дітей і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 xml:space="preserve">вивчення сучасних виховних систем, технологій і </w:t>
      </w:r>
      <w:proofErr w:type="spellStart"/>
      <w:r w:rsidRPr="00884FE1">
        <w:rPr>
          <w:rFonts w:ascii="Times New Roman" w:hAnsi="Times New Roman" w:cs="Times New Roman"/>
          <w:sz w:val="28"/>
          <w:szCs w:val="28"/>
        </w:rPr>
        <w:t>методик</w:t>
      </w:r>
      <w:proofErr w:type="spellEnd"/>
      <w:r w:rsidRPr="00884FE1">
        <w:rPr>
          <w:rFonts w:ascii="Times New Roman" w:hAnsi="Times New Roman" w:cs="Times New Roman"/>
          <w:sz w:val="28"/>
          <w:szCs w:val="28"/>
        </w:rPr>
        <w:t xml:space="preserve"> у сфері національно-патріотичного виховання, узагальнення та поширення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найкращого досвіду у цій сфері;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впровадження навчальних дисциплін духовно-морального спрямування як основи формування особистості та </w:t>
      </w:r>
      <w:proofErr w:type="spellStart"/>
      <w:r w:rsidRPr="00884FE1">
        <w:rPr>
          <w:rFonts w:ascii="Times New Roman" w:hAnsi="Times New Roman" w:cs="Times New Roman"/>
          <w:sz w:val="28"/>
          <w:szCs w:val="28"/>
        </w:rPr>
        <w:t>підгрунтя</w:t>
      </w:r>
      <w:proofErr w:type="spellEnd"/>
      <w:r w:rsidRPr="00884FE1">
        <w:rPr>
          <w:rFonts w:ascii="Times New Roman" w:hAnsi="Times New Roman" w:cs="Times New Roman"/>
          <w:sz w:val="28"/>
          <w:szCs w:val="28"/>
        </w:rPr>
        <w:t xml:space="preserve"> для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формування єдиних стандартів діяльності у сфері національно-патріотичного виховання та інструментів їх впровадження;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організація та координація інформаційно-просвітницької роботи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здійснення заходів, спрямованих на підвищення престижу військової служби;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упорядкування та вдосконалення системи допризовної військової підготовки, підготовки з військово-облікових спеціальностей;</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створення системи ефективного моніторингу у сфері національно-патріотичного виховання.</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5. Цільові групи Стратегії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lastRenderedPageBreak/>
        <w:t>6. Сфери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Національно-патріотичне виховання має охоплювати насамперед такі сфери: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освіта;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наука;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культура та мистецтво;</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профорієнтація на військові спеціальності;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історія, вшанування пам’ятних дат та історичних постатей;</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краєзнавство;</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туризм;</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охорона довкілля;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фізкультура, спорт, популяризація здорового способу життя;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цивільна оборона;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оборона України.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7. Стандарти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8. Шляхи та механізми реалізації Стратегії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Ефективна реалізація Стратегії потребує:</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чіткої координації діяльності центральних і місцевих органів виконавчої влади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створення механізму підтримки об’єднань, центрів, клубів, діяльність яких пов’язана з національно-патріотичним вихованням дітей та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884FE1">
        <w:rPr>
          <w:rFonts w:ascii="Times New Roman" w:hAnsi="Times New Roman" w:cs="Times New Roman"/>
          <w:sz w:val="28"/>
          <w:szCs w:val="28"/>
        </w:rPr>
        <w:t>грунтовного</w:t>
      </w:r>
      <w:proofErr w:type="spellEnd"/>
      <w:r w:rsidRPr="00884FE1">
        <w:rPr>
          <w:rFonts w:ascii="Times New Roman" w:hAnsi="Times New Roman" w:cs="Times New Roman"/>
          <w:sz w:val="28"/>
          <w:szCs w:val="28"/>
        </w:rPr>
        <w:t xml:space="preserve"> дослідження сучасного стану національно-патріотичного виховання дітей та молоді, організацію його поточного моніторингу.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sz w:val="28"/>
          <w:szCs w:val="28"/>
        </w:rPr>
        <w:t>9</w:t>
      </w:r>
      <w:r w:rsidRPr="00884FE1">
        <w:rPr>
          <w:rFonts w:ascii="Times New Roman" w:hAnsi="Times New Roman" w:cs="Times New Roman"/>
          <w:b/>
          <w:sz w:val="28"/>
          <w:szCs w:val="28"/>
        </w:rPr>
        <w:t>. Підвищення кваліфікації та професійної компетентності фахівців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10. Удосконалення нормативно-правової бази з національно-патріотичного виховання дітей і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створення єдиної нормативно-правової основи національно-патріотичного виховання в системі освіти;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884FE1" w:rsidRPr="00884FE1" w:rsidRDefault="00884FE1" w:rsidP="00884FE1">
      <w:pPr>
        <w:ind w:firstLine="709"/>
        <w:jc w:val="center"/>
        <w:rPr>
          <w:rFonts w:ascii="Times New Roman" w:hAnsi="Times New Roman" w:cs="Times New Roman"/>
          <w:b/>
          <w:sz w:val="28"/>
          <w:szCs w:val="28"/>
        </w:rPr>
      </w:pPr>
      <w:r w:rsidRPr="00884FE1">
        <w:rPr>
          <w:rFonts w:ascii="Times New Roman" w:hAnsi="Times New Roman" w:cs="Times New Roman"/>
          <w:b/>
          <w:sz w:val="28"/>
          <w:szCs w:val="28"/>
        </w:rPr>
        <w:t>11. Реалізація, моніторинг за впровадженням Стратегії</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 xml:space="preserve">Оцінка ефективності реалізації Стратегії </w:t>
      </w:r>
      <w:proofErr w:type="spellStart"/>
      <w:r w:rsidRPr="00884FE1">
        <w:rPr>
          <w:rFonts w:ascii="Times New Roman" w:hAnsi="Times New Roman" w:cs="Times New Roman"/>
          <w:sz w:val="28"/>
          <w:szCs w:val="28"/>
        </w:rPr>
        <w:t>грунтуватиметься</w:t>
      </w:r>
      <w:proofErr w:type="spellEnd"/>
      <w:r w:rsidRPr="00884FE1">
        <w:rPr>
          <w:rFonts w:ascii="Times New Roman" w:hAnsi="Times New Roman" w:cs="Times New Roman"/>
          <w:sz w:val="28"/>
          <w:szCs w:val="28"/>
        </w:rPr>
        <w:t xml:space="preserve"> на результатах виконання відповідного плану дій.</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Індикаторами ефективності реалізації заходів із національно-патріотичного виховання дітей та молоді мають стати, зокрема:</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lastRenderedPageBreak/>
        <w:t>збільшення передплати та обсягів розповсюдження україномовних дитячих і молодіжних друкованих видань;</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кількості глядачів на переглядах творів кіномистецтва, що розкривають героїчне минуле та сьогодення Українського народу;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кількості дітей і молоді, які подорожують в інші регіони України та до держав Європейського Союзу;</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чисельності членів громадських об’єднань, діяльність яких спрямована на національно-патріотичне виховання дітей та молоді;</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884FE1"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чисельності молоді, готової до виконання обов’язку із захисту Батьківщини, незалежності та територіальної цілісності України;</w:t>
      </w:r>
    </w:p>
    <w:p w:rsidR="002F083F" w:rsidRPr="00884FE1" w:rsidRDefault="00884FE1" w:rsidP="00884FE1">
      <w:pPr>
        <w:ind w:firstLine="709"/>
        <w:jc w:val="both"/>
        <w:rPr>
          <w:rFonts w:ascii="Times New Roman" w:hAnsi="Times New Roman" w:cs="Times New Roman"/>
          <w:sz w:val="28"/>
          <w:szCs w:val="28"/>
        </w:rPr>
      </w:pPr>
      <w:r w:rsidRPr="00884FE1">
        <w:rPr>
          <w:rFonts w:ascii="Times New Roman" w:hAnsi="Times New Roman" w:cs="Times New Roman"/>
          <w:sz w:val="28"/>
          <w:szCs w:val="28"/>
        </w:rPr>
        <w:t>збільшення кількості заходів із вшанування героїв боротьби Українського народу за незалежність і територіальну цілісність України.</w:t>
      </w:r>
    </w:p>
    <w:sectPr w:rsidR="002F083F" w:rsidRPr="00884F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C9"/>
    <w:rsid w:val="002F083F"/>
    <w:rsid w:val="005A267A"/>
    <w:rsid w:val="00884FE1"/>
    <w:rsid w:val="00F56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C009F-BBF4-411D-B224-B8EC0F82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F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4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12806</Words>
  <Characters>7300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cp:lastPrinted>2015-11-05T09:17:00Z</cp:lastPrinted>
  <dcterms:created xsi:type="dcterms:W3CDTF">2015-11-05T09:11:00Z</dcterms:created>
  <dcterms:modified xsi:type="dcterms:W3CDTF">2015-11-05T09:22:00Z</dcterms:modified>
</cp:coreProperties>
</file>